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297C3A" w:rsidRDefault="00C229E0" w:rsidP="00261C03">
      <w:pPr>
        <w:pStyle w:val="Bodytext30"/>
        <w:widowControl/>
        <w:shd w:val="clear" w:color="auto" w:fill="auto"/>
        <w:spacing w:after="38" w:line="240" w:lineRule="auto"/>
        <w:jc w:val="both"/>
        <w:rPr>
          <w:rFonts w:ascii="Times New Roman" w:hAnsi="Times New Roman" w:cs="Times New Roman"/>
        </w:rPr>
      </w:pPr>
      <w:bookmarkStart w:id="0" w:name="_GoBack"/>
      <w:bookmarkEnd w:id="0"/>
      <w:r w:rsidRPr="00297C3A">
        <w:rPr>
          <w:rFonts w:ascii="Times New Roman" w:hAnsi="Times New Roman" w:cs="Times New Roman"/>
          <w:lang w:val="sq"/>
        </w:rPr>
        <w:t>Simulim i Veprimit Klimatik: Furnizimi Konvencional me Energji</w:t>
      </w:r>
    </w:p>
    <w:p w:rsidR="0010014B" w:rsidRPr="00297C3A" w:rsidRDefault="0010014B" w:rsidP="00261C03">
      <w:pPr>
        <w:pStyle w:val="Bodytext30"/>
        <w:widowControl/>
        <w:shd w:val="clear" w:color="auto" w:fill="auto"/>
        <w:spacing w:after="38" w:line="240" w:lineRule="auto"/>
        <w:rPr>
          <w:rFonts w:ascii="Times New Roman" w:hAnsi="Times New Roman" w:cs="Times New Roman"/>
        </w:rPr>
      </w:pPr>
    </w:p>
    <w:p w:rsidR="00EA7CFD" w:rsidRPr="00297C3A" w:rsidRDefault="00C229E0" w:rsidP="00261C03">
      <w:pPr>
        <w:pStyle w:val="Bodytext40"/>
        <w:widowControl/>
        <w:shd w:val="clear" w:color="auto" w:fill="auto"/>
        <w:tabs>
          <w:tab w:val="left" w:pos="1440"/>
        </w:tabs>
        <w:spacing w:line="240" w:lineRule="auto"/>
        <w:rPr>
          <w:lang w:val="es-ES_tradnl"/>
        </w:rPr>
      </w:pPr>
      <w:r w:rsidRPr="00297C3A">
        <w:rPr>
          <w:lang w:val="sq"/>
        </w:rPr>
        <w:t>Për:</w:t>
      </w:r>
      <w:r w:rsidRPr="00297C3A">
        <w:rPr>
          <w:lang w:val="sq"/>
        </w:rPr>
        <w:tab/>
      </w:r>
      <w:proofErr w:type="spellStart"/>
      <w:r w:rsidRPr="00297C3A">
        <w:rPr>
          <w:lang w:val="sq"/>
        </w:rPr>
        <w:t>Kryenegociatorët</w:t>
      </w:r>
      <w:proofErr w:type="spellEnd"/>
      <w:r w:rsidRPr="00297C3A">
        <w:rPr>
          <w:lang w:val="sq"/>
        </w:rPr>
        <w:t xml:space="preserve"> për Furnizimin Konvencional me Energji</w:t>
      </w:r>
    </w:p>
    <w:p w:rsidR="00EA7CFD" w:rsidRPr="00297C3A" w:rsidRDefault="00C229E0" w:rsidP="00261C03">
      <w:pPr>
        <w:pStyle w:val="Bodytext40"/>
        <w:widowControl/>
        <w:shd w:val="clear" w:color="auto" w:fill="auto"/>
        <w:tabs>
          <w:tab w:val="left" w:pos="1440"/>
        </w:tabs>
        <w:spacing w:after="120" w:line="240" w:lineRule="auto"/>
        <w:rPr>
          <w:lang w:val="es-ES_tradnl"/>
        </w:rPr>
      </w:pPr>
      <w:r w:rsidRPr="00297C3A">
        <w:rPr>
          <w:lang w:val="sq"/>
        </w:rPr>
        <w:t>Subjekti:</w:t>
      </w:r>
      <w:r w:rsidRPr="00297C3A">
        <w:rPr>
          <w:lang w:val="sq"/>
        </w:rPr>
        <w:tab/>
        <w:t>Përgatitja për Samitin e Veprimit Klimatik</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 xml:space="preserve">Mirë se vini në Samitin e Veprimit Klimatik! Ju dhe liderë nga të gjitha grupet përkatëse të interesit jeni ftuar nga Sekretari i Përgjithshëm i OKB-së për të punuar së bashku për t’i dhënë përgjigje të suksesshme ndryshimit klimatik. Në ftesë, Sekretari i Përgjithshëm </w:t>
      </w:r>
      <w:r w:rsidRPr="00297C3A">
        <w:rPr>
          <w:rStyle w:val="Bodytext20"/>
          <w:lang w:val="sq"/>
        </w:rPr>
        <w:t>vërejti</w:t>
      </w:r>
      <w:r w:rsidRPr="00297C3A">
        <w:rPr>
          <w:lang w:val="sq"/>
        </w:rPr>
        <w:t xml:space="preserve"> se: “Emergjenca klimatike është një garë që po e humbim, por është një garë që mund ta fitojmë ... Shkenca e përparuar ... na thotë se çdo rritje temperature mbi 1,5 °C do të sjellë dëmtim madhor dhe të pakthyeshëm në ekosistemet që na mbështesin ... Por shkenca gjithashtu na thotë se nuk është tepër vonë.</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Ne mund t’ia dalim... Por na nevojiten transformime themelore në të gjitha aspektet e shoqërisë - mënyra se si rrisim ushqimet, se si përdorim tokën, se si e furnizojmë me karburant transportin dhe se si furnizojmë me energji ekonomitë tona ... Duke vepruar së bashku, nuk do të lëmë askënd prapa.”</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 xml:space="preserve">Objektivi i samitit është të krijohet një plan për të kufizuar ngrohjen globale në më pak se 2°C [3,6 °F] mbi nivelet përpara industrializimit dhe të luftojmë për 1,5 °C [2,7 °F], objektivat ndërkombëtare të njohura zyrtarisht në Marrëveshjen e Parisit për Klimën. </w:t>
      </w:r>
      <w:r w:rsidRPr="00297C3A">
        <w:rPr>
          <w:rStyle w:val="Bodytext20"/>
          <w:lang w:val="sq"/>
        </w:rPr>
        <w:t>Provat shkencore</w:t>
      </w:r>
      <w:r w:rsidRPr="00297C3A">
        <w:rPr>
          <w:lang w:val="sq"/>
        </w:rPr>
        <w:t xml:space="preserve"> janë të qarta: ngrohja mbi këtë kufi do të sjellë ndikime </w:t>
      </w:r>
      <w:proofErr w:type="spellStart"/>
      <w:r w:rsidRPr="00297C3A">
        <w:rPr>
          <w:lang w:val="sq"/>
        </w:rPr>
        <w:t>katastrofike</w:t>
      </w:r>
      <w:proofErr w:type="spellEnd"/>
      <w:r w:rsidRPr="00297C3A">
        <w:rPr>
          <w:lang w:val="sq"/>
        </w:rPr>
        <w:t xml:space="preserve"> dhe të pakthyeshme që kërcënojnë shëndetin, begatinë dhe jetën e njerëzve në të gjitha kombet.</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Ju përfaqësoni industritë e qymyrit, naftës, gazit natyror, energjisë bërthamore dhe energjisë elektrike që furnizojnë shumicën e energjisë së sotme botërore. Grupi juaj përfshin kompanitë kombëtare dhe publike të naftës dhe gazit, kompanitë e qymyrit, kompanitë e energjisë elektrike që mbështeten në lëndët djegëse fosile, si edhe firmat që furnizojnë shërbime dhe pajisje për këto industri.</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 xml:space="preserve">Prioritetet e politikës suaj janë listuar më poshtë. Por, ju mund të propozoni ose bllokoni çdo politikë të </w:t>
      </w:r>
      <w:proofErr w:type="spellStart"/>
      <w:r w:rsidRPr="00297C3A">
        <w:rPr>
          <w:lang w:val="sq"/>
        </w:rPr>
        <w:t>disponueshme</w:t>
      </w:r>
      <w:proofErr w:type="spellEnd"/>
      <w:r w:rsidRPr="00297C3A">
        <w:rPr>
          <w:lang w:val="sq"/>
        </w:rPr>
        <w:t>.</w:t>
      </w:r>
    </w:p>
    <w:p w:rsidR="00EA7CFD" w:rsidRPr="00297C3A" w:rsidRDefault="00C229E0" w:rsidP="00261C03">
      <w:pPr>
        <w:pStyle w:val="Bodytext21"/>
        <w:widowControl/>
        <w:numPr>
          <w:ilvl w:val="0"/>
          <w:numId w:val="1"/>
        </w:numPr>
        <w:shd w:val="clear" w:color="auto" w:fill="auto"/>
        <w:tabs>
          <w:tab w:val="left" w:pos="362"/>
        </w:tabs>
        <w:spacing w:before="0" w:after="120" w:line="240" w:lineRule="auto"/>
        <w:ind w:left="400" w:right="-1"/>
        <w:jc w:val="both"/>
      </w:pPr>
      <w:r w:rsidRPr="00297C3A">
        <w:rPr>
          <w:rStyle w:val="Bodytext2Bold"/>
          <w:lang w:val="sq"/>
        </w:rPr>
        <w:t xml:space="preserve">Kundërshtoni një çmim të lartë për karbonin. </w:t>
      </w:r>
      <w:r w:rsidRPr="00297C3A">
        <w:rPr>
          <w:lang w:val="sq"/>
        </w:rPr>
        <w:t>Ekonomistët tuaj pranojnë se rritja e çmimeve të lëndëve djegëse fosile për të reflektuar kostot mjedisore dhe sociale të emetimeve të gazeve të efektit serrë me një çmim karboni, mund të ishte mënyra më e mirë për të reduktuar emetimet globale. Por, një çmim për karbonin mbi 25- 30 dollarë për ton CO</w:t>
      </w:r>
      <w:r w:rsidRPr="00297C3A">
        <w:rPr>
          <w:vertAlign w:val="subscript"/>
          <w:lang w:val="sq"/>
        </w:rPr>
        <w:t>2</w:t>
      </w:r>
      <w:r w:rsidRPr="00297C3A">
        <w:rPr>
          <w:lang w:val="sq"/>
        </w:rPr>
        <w:t xml:space="preserve"> do të dëmtonte në mënyrë të papranueshme industrinë e lëndëve djegëse fosile duke rritur kostot dhe duke ulur kërkesën, që do të çonte në </w:t>
      </w:r>
      <w:proofErr w:type="spellStart"/>
      <w:r w:rsidRPr="00297C3A">
        <w:rPr>
          <w:lang w:val="sq"/>
        </w:rPr>
        <w:t>asete</w:t>
      </w:r>
      <w:proofErr w:type="spellEnd"/>
      <w:r w:rsidRPr="00297C3A">
        <w:rPr>
          <w:lang w:val="sq"/>
        </w:rPr>
        <w:t xml:space="preserve"> të </w:t>
      </w:r>
      <w:proofErr w:type="spellStart"/>
      <w:r w:rsidRPr="00297C3A">
        <w:rPr>
          <w:lang w:val="sq"/>
        </w:rPr>
        <w:t>pashitura</w:t>
      </w:r>
      <w:proofErr w:type="spellEnd"/>
      <w:r w:rsidRPr="00297C3A">
        <w:rPr>
          <w:lang w:val="sq"/>
        </w:rPr>
        <w:t xml:space="preserve"> dhe humbje në vlerën e aksioneve. Megjithëse disa kompani nafte deklarojnë publikisht se favorizojnë një çmim për karbonin, industria juaj vazhdon të financojë politikanët që e kundërshtojnë atë dhe bllokon veprimet. Ju parashikoni presion nga grupet e tjera për të aplikuar një taksë karboni. Kundërshtojeni fort këtë politikë.</w:t>
      </w:r>
    </w:p>
    <w:p w:rsidR="00EA7CFD" w:rsidRPr="00297C3A" w:rsidRDefault="00C229E0" w:rsidP="00261C03">
      <w:pPr>
        <w:pStyle w:val="Bodytext21"/>
        <w:widowControl/>
        <w:numPr>
          <w:ilvl w:val="0"/>
          <w:numId w:val="1"/>
        </w:numPr>
        <w:shd w:val="clear" w:color="auto" w:fill="auto"/>
        <w:tabs>
          <w:tab w:val="left" w:pos="362"/>
        </w:tabs>
        <w:spacing w:before="0" w:after="120" w:line="240" w:lineRule="auto"/>
        <w:ind w:left="400" w:right="-1"/>
        <w:jc w:val="both"/>
        <w:rPr>
          <w:lang w:val="sq"/>
        </w:rPr>
      </w:pPr>
      <w:r w:rsidRPr="00297C3A">
        <w:rPr>
          <w:rStyle w:val="Bodytext2Bold"/>
          <w:lang w:val="sq"/>
        </w:rPr>
        <w:t xml:space="preserve">Kundërshtoni taksat mbi lëndët djegëse fosile. </w:t>
      </w:r>
      <w:r w:rsidRPr="00297C3A">
        <w:rPr>
          <w:lang w:val="sq"/>
        </w:rPr>
        <w:t xml:space="preserve">Industria juaj nuk dëshiron as të vendoset nën rregullore dhe as të paguajë kostot e lehtësimit të ndryshimit të klimës. Duke qenë se ju tashmë parashikoni humbje të konsiderueshme në biznes ndërsa bota është në një </w:t>
      </w:r>
      <w:proofErr w:type="spellStart"/>
      <w:r w:rsidRPr="00297C3A">
        <w:rPr>
          <w:lang w:val="sq"/>
        </w:rPr>
        <w:t>tranzicion</w:t>
      </w:r>
      <w:proofErr w:type="spellEnd"/>
      <w:r w:rsidRPr="00297C3A">
        <w:rPr>
          <w:lang w:val="sq"/>
        </w:rPr>
        <w:t xml:space="preserve"> larg lëndëve djegëse fosile në shekullin e ardhshëm, ju nuk mund të mbartni kosto shtesë që ndëshkojnë padrejtësisht industrinë tuaj. Në fakt, ju mund të kërkoni subvencione për gazin natyral, që ju e promovoni si një lëndë djegëse tranzitore për shkak se çliron më pak karbon se qymyri dhe nafta. Nëse rregulloret janë të pashmangshme, është më mirë të kufizohet qymyri sesa nafta dhe gazi. Qymyri emeton më shumë karbon se lëndët e tjera kur digjet dhe është më pak fitimprurës se nafta dhe gazi.</w:t>
      </w:r>
    </w:p>
    <w:p w:rsidR="00934588" w:rsidRPr="00297C3A" w:rsidRDefault="00C229E0" w:rsidP="00261C03">
      <w:pPr>
        <w:pStyle w:val="Bodytext21"/>
        <w:widowControl/>
        <w:numPr>
          <w:ilvl w:val="0"/>
          <w:numId w:val="1"/>
        </w:numPr>
        <w:shd w:val="clear" w:color="auto" w:fill="auto"/>
        <w:spacing w:before="0" w:after="120" w:line="240" w:lineRule="auto"/>
        <w:ind w:left="400" w:right="-1"/>
        <w:jc w:val="both"/>
        <w:rPr>
          <w:lang w:val="sq"/>
        </w:rPr>
      </w:pPr>
      <w:r w:rsidRPr="00297C3A">
        <w:rPr>
          <w:b/>
          <w:bCs/>
          <w:lang w:val="sq"/>
        </w:rPr>
        <w:t xml:space="preserve">Promovoni teknologji të reja duke përfshirë heqjen teknologjike të karbonit, kapjen dhe depozitimin e karbonit dhe </w:t>
      </w:r>
      <w:proofErr w:type="spellStart"/>
      <w:r w:rsidRPr="00297C3A">
        <w:rPr>
          <w:b/>
          <w:bCs/>
          <w:lang w:val="sq"/>
        </w:rPr>
        <w:t>biokarburantet</w:t>
      </w:r>
      <w:proofErr w:type="spellEnd"/>
      <w:r w:rsidRPr="00297C3A">
        <w:rPr>
          <w:b/>
          <w:bCs/>
          <w:lang w:val="sq"/>
        </w:rPr>
        <w:t>.</w:t>
      </w:r>
    </w:p>
    <w:p w:rsidR="00EA7CFD" w:rsidRPr="00297C3A" w:rsidRDefault="00C229E0" w:rsidP="00261C03">
      <w:pPr>
        <w:pStyle w:val="Bodytext21"/>
        <w:widowControl/>
        <w:shd w:val="clear" w:color="auto" w:fill="auto"/>
        <w:spacing w:before="0" w:after="120" w:line="240" w:lineRule="auto"/>
        <w:ind w:left="400" w:firstLine="0"/>
        <w:jc w:val="both"/>
        <w:rPr>
          <w:lang w:val="sq"/>
        </w:rPr>
      </w:pPr>
      <w:r w:rsidRPr="00297C3A">
        <w:rPr>
          <w:lang w:val="sq"/>
        </w:rPr>
        <w:t xml:space="preserve">Industria juaj e mbështet shumë përdorimin e gazit natyror dhe </w:t>
      </w:r>
      <w:proofErr w:type="spellStart"/>
      <w:r w:rsidRPr="00297C3A">
        <w:rPr>
          <w:lang w:val="sq"/>
        </w:rPr>
        <w:t>biokarburanteve</w:t>
      </w:r>
      <w:proofErr w:type="spellEnd"/>
      <w:r w:rsidRPr="00297C3A">
        <w:rPr>
          <w:lang w:val="sq"/>
        </w:rPr>
        <w:t>, dhe kryen kërkime për të zhvilluar teknologjinë e heqjes së karbonit, që e heq karbonin nga atmosfera dhe e depoziton atë nën tokë.</w:t>
      </w:r>
      <w:r w:rsidRPr="00297C3A">
        <w:rPr>
          <w:i/>
          <w:iCs/>
          <w:sz w:val="18"/>
          <w:szCs w:val="18"/>
          <w:lang w:val="sq"/>
        </w:rPr>
        <w:t xml:space="preserve"> Ekspertiza juaj në inxhinierinë e shkallës së gjerë, gjeologji dhe transportin e lëndëve djegëse mund të </w:t>
      </w:r>
      <w:r w:rsidRPr="00297C3A">
        <w:rPr>
          <w:i/>
          <w:iCs/>
          <w:sz w:val="18"/>
          <w:szCs w:val="18"/>
          <w:lang w:val="sq"/>
        </w:rPr>
        <w:lastRenderedPageBreak/>
        <w:t xml:space="preserve">aplikohet për këto lëndë djegëse dhe industri. Ju gjithashtu mbështetni kapjen dhe depozitimin e karbonit (CCS) për termocentralet e qymyrit dhe të tjera, duke përfshirë </w:t>
      </w:r>
      <w:proofErr w:type="spellStart"/>
      <w:r w:rsidRPr="00297C3A">
        <w:rPr>
          <w:i/>
          <w:iCs/>
          <w:sz w:val="18"/>
          <w:szCs w:val="18"/>
          <w:lang w:val="sq"/>
        </w:rPr>
        <w:t>biokarburantet</w:t>
      </w:r>
      <w:proofErr w:type="spellEnd"/>
      <w:r w:rsidRPr="00297C3A">
        <w:rPr>
          <w:i/>
          <w:iCs/>
          <w:sz w:val="18"/>
          <w:szCs w:val="18"/>
          <w:lang w:val="sq"/>
        </w:rPr>
        <w:t xml:space="preserve"> me kapjen dhe depozitimin e karbonit. Kapja dhe depozitimi i karbonit mund të </w:t>
      </w:r>
      <w:r w:rsidRPr="00297C3A">
        <w:rPr>
          <w:rFonts w:ascii="Arial" w:hAnsi="Arial"/>
          <w:i/>
          <w:iCs/>
          <w:sz w:val="18"/>
          <w:szCs w:val="18"/>
          <w:lang w:val="sq"/>
        </w:rPr>
        <w:t>kapë 90% të gazit CO</w:t>
      </w:r>
      <w:r w:rsidRPr="00297C3A">
        <w:rPr>
          <w:rFonts w:ascii="Arial" w:hAnsi="Arial"/>
          <w:sz w:val="18"/>
          <w:szCs w:val="18"/>
          <w:vertAlign w:val="subscript"/>
          <w:lang w:val="sq"/>
        </w:rPr>
        <w:t>2</w:t>
      </w:r>
      <w:r w:rsidRPr="00297C3A">
        <w:rPr>
          <w:rFonts w:ascii="Arial" w:hAnsi="Arial"/>
          <w:i/>
          <w:iCs/>
          <w:sz w:val="18"/>
          <w:szCs w:val="18"/>
          <w:lang w:val="sq"/>
        </w:rPr>
        <w:t xml:space="preserve"> të prodhuar nga </w:t>
      </w:r>
      <w:r w:rsidRPr="00297C3A">
        <w:rPr>
          <w:lang w:val="sq"/>
        </w:rPr>
        <w:t>djegia e lëndëve djegëse fosile në termocentrale dhe procese industriale. Gazi CO</w:t>
      </w:r>
      <w:r w:rsidRPr="00297C3A">
        <w:rPr>
          <w:vertAlign w:val="subscript"/>
          <w:lang w:val="sq"/>
        </w:rPr>
        <w:t>2</w:t>
      </w:r>
      <w:r w:rsidRPr="00297C3A">
        <w:rPr>
          <w:lang w:val="sq"/>
        </w:rPr>
        <w:t xml:space="preserve"> më pas mund të kthehet në lëng dhe të pompohet nën tokë për të rritur prodhimin e naftës ose gazit ose, më pak fitimprurëse, të pompohet në ato që ju do t’i siguroni si rezervuarë gjeologjikë të qëndrueshëm. Teknologjia e heqjes së karbonit, nëse bëhet praktike dhe me kosto konkurruese, do ta ndihmonte industrinë tuaj sepse CO</w:t>
      </w:r>
      <w:r w:rsidRPr="00297C3A">
        <w:rPr>
          <w:vertAlign w:val="subscript"/>
          <w:lang w:val="sq"/>
        </w:rPr>
        <w:t>2</w:t>
      </w:r>
      <w:r w:rsidRPr="00297C3A">
        <w:rPr>
          <w:lang w:val="sq"/>
        </w:rPr>
        <w:t xml:space="preserve"> mund të hiqej nga atmosfera, duke i hequr emetimet nga përdorimi i vazhdueshëm i lëndëve djegëse fosile.</w:t>
      </w:r>
    </w:p>
    <w:p w:rsidR="00EA7CFD" w:rsidRPr="00297C3A" w:rsidRDefault="00C229E0" w:rsidP="00261C03">
      <w:pPr>
        <w:pStyle w:val="Bodytext21"/>
        <w:widowControl/>
        <w:numPr>
          <w:ilvl w:val="0"/>
          <w:numId w:val="1"/>
        </w:numPr>
        <w:shd w:val="clear" w:color="auto" w:fill="auto"/>
        <w:spacing w:before="0" w:after="120" w:line="240" w:lineRule="auto"/>
        <w:ind w:left="400" w:right="-1"/>
        <w:jc w:val="both"/>
        <w:rPr>
          <w:lang w:val="sq"/>
        </w:rPr>
      </w:pPr>
      <w:r w:rsidRPr="00297C3A">
        <w:rPr>
          <w:b/>
          <w:bCs/>
          <w:lang w:val="sq"/>
        </w:rPr>
        <w:t>Inkurajoni veprime që nuk ndikojnë direkt në industrinë tuaj</w:t>
      </w:r>
      <w:r w:rsidRPr="00297C3A">
        <w:rPr>
          <w:lang w:val="sq"/>
        </w:rPr>
        <w:t xml:space="preserve">. Ndërkohë që ju e kuptoni se ndryshimi i klimës është i rrezikshëm, juve gjithashtu ju nevojitet të mbroni vlerat e </w:t>
      </w:r>
      <w:proofErr w:type="spellStart"/>
      <w:r w:rsidRPr="00297C3A">
        <w:rPr>
          <w:lang w:val="sq"/>
        </w:rPr>
        <w:t>aksionerëve</w:t>
      </w:r>
      <w:proofErr w:type="spellEnd"/>
      <w:r w:rsidRPr="00297C3A">
        <w:rPr>
          <w:lang w:val="sq"/>
        </w:rPr>
        <w:t>. Prandaj ju përkrahni politikat që mund të reduktojnë emetimet e gazeve të efektit serrë pa reduktuar përdorimin e lëndëve djegëse fosile. Megjithëse gazi CO</w:t>
      </w:r>
      <w:r w:rsidRPr="00297C3A">
        <w:rPr>
          <w:vertAlign w:val="subscript"/>
          <w:lang w:val="sq"/>
        </w:rPr>
        <w:t>2</w:t>
      </w:r>
      <w:r w:rsidRPr="00297C3A">
        <w:rPr>
          <w:lang w:val="sq"/>
        </w:rPr>
        <w:t xml:space="preserve"> nga përdorimi i lëndëve djegëse fosile kontribuon në shumicën e ndryshimit të klimës, gazi metan (CH</w:t>
      </w:r>
      <w:r w:rsidRPr="00297C3A">
        <w:rPr>
          <w:vertAlign w:val="subscript"/>
          <w:lang w:val="sq"/>
        </w:rPr>
        <w:t>4</w:t>
      </w:r>
      <w:r w:rsidRPr="00297C3A">
        <w:rPr>
          <w:lang w:val="sq"/>
        </w:rPr>
        <w:t>), oksidi i azotit (N</w:t>
      </w:r>
      <w:r w:rsidRPr="00297C3A">
        <w:rPr>
          <w:vertAlign w:val="subscript"/>
          <w:lang w:val="sq"/>
        </w:rPr>
        <w:t>2</w:t>
      </w:r>
      <w:r w:rsidRPr="00297C3A">
        <w:rPr>
          <w:lang w:val="sq"/>
        </w:rPr>
        <w:t>O) dhe gaze të tjera janë gaze të mundshme të efektit serrë dhe ndikimi i tyre po rritet. Bujqësia globale dhe praktikat me pyjet kontribuojnë shumë në emetimet e këtyre gazeve. Ju mbështesni politika për të reduktuar këto emetime të gazeve të efektit serrë, kryesisht emetimet nga përdorimi i tokës, bujqësia dhe pyjet. Ju mbështetni përpjekjet për të reduktuar shpyllëzimin dhe për të pyllëzuar tokat e degraduara dhe të shpyllëzuara më parë.</w:t>
      </w:r>
    </w:p>
    <w:p w:rsidR="00EA7CFD" w:rsidRPr="00297C3A" w:rsidRDefault="00C229E0" w:rsidP="00261C03">
      <w:pPr>
        <w:pStyle w:val="Bodytext60"/>
        <w:widowControl/>
        <w:shd w:val="clear" w:color="auto" w:fill="auto"/>
        <w:spacing w:before="0" w:after="120" w:line="240" w:lineRule="auto"/>
        <w:rPr>
          <w:lang w:val="sq"/>
        </w:rPr>
      </w:pPr>
      <w:r w:rsidRPr="00297C3A">
        <w:rPr>
          <w:lang w:val="sq"/>
        </w:rPr>
        <w:t>Konsideratat shtesë</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 xml:space="preserve">Vetë ekspertët tuaj të shkencës së klimës janë dakord me vlerësimin e Panelit Ndërqeveritar mbi Ndryshimin e Klimës (IPCC) rreth kërcënimit të ndryshimit të klimës. Por, ju duhet të balanconi rëndësinë për të parandaluar ndryshimin e rrezikshëm të klimës me nevojat e grupeve tuaja kyçe të interesit, punonjësit, publikun (klientët tuaj), </w:t>
      </w:r>
      <w:proofErr w:type="spellStart"/>
      <w:r w:rsidRPr="00297C3A">
        <w:rPr>
          <w:lang w:val="sq"/>
        </w:rPr>
        <w:t>politikëbërësit</w:t>
      </w:r>
      <w:proofErr w:type="spellEnd"/>
      <w:r w:rsidRPr="00297C3A">
        <w:rPr>
          <w:lang w:val="sq"/>
        </w:rPr>
        <w:t xml:space="preserve"> që sigurojnë licencën tuaj për të operuar, vendosur nën rregulla industrinë tuaj dhe për të ndikuar në kostot tuaja operative, dhe në fund interesat tuaja financiare si drejtues të këtyre kompanive.</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 xml:space="preserve">Burimet tradicionale të energjisë duke përfshirë lëndët djegëse fosile dhe energjinë bërthamore sigurojnë mbi 95% të furnizimit global me energji. Industria juaj ofron vetëm atë që duan konsumatorët dhe nuk duhet të fajësohet apo të ndëshkohet për ndryshimin e klimës. Reduktimi i lëndëve djegëse fosile mund të jetë i kushtueshëm për konsumatorët dhe ekonominë në planin afatshkurtër. Në shumicën e botës, ekziston infrastruktura e lëndëve djegëse fosile dhe në shumë kombe në zhvillim po zhvillohen me shpejtësi kapacitete të reja të energjisë fosile. Energjitë e </w:t>
      </w:r>
      <w:proofErr w:type="spellStart"/>
      <w:r w:rsidRPr="00297C3A">
        <w:rPr>
          <w:lang w:val="sq"/>
        </w:rPr>
        <w:t>rinovueshme</w:t>
      </w:r>
      <w:proofErr w:type="spellEnd"/>
      <w:r w:rsidRPr="00297C3A">
        <w:rPr>
          <w:lang w:val="sq"/>
        </w:rPr>
        <w:t xml:space="preserve"> si era dhe energjia diellore nuk janë të përhershme dhe nuk janë ende në gjendje të furnizojnë me energji ekonominë botërore. Qëndrimi juaj është se lëndët djegëse fosile janë të nevojshme për të eliminuar “varfërinë energjetike” dhe për të nxitur rritjen ekonomike, sidomos në kombet në zhvillim në botë. Mos lejoni që aktivistët </w:t>
      </w:r>
      <w:proofErr w:type="spellStart"/>
      <w:r w:rsidRPr="00297C3A">
        <w:rPr>
          <w:lang w:val="sq"/>
        </w:rPr>
        <w:t>ambientalistë</w:t>
      </w:r>
      <w:proofErr w:type="spellEnd"/>
      <w:r w:rsidRPr="00297C3A">
        <w:rPr>
          <w:lang w:val="sq"/>
        </w:rPr>
        <w:t xml:space="preserve"> t’ju etiketojnë si njerëz që nuk shqetësoheni për drejtësinë sociale.</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 xml:space="preserve">Prodhues të lëndëve djegëse fosile, duke përfshirë firmat e qymyrit, naftës dhe gazit do të përballen me vështirësi të mëdha financiare nëse aplikohen politika për të kufizuar pranë 2°C. Firmat që varen nga lëndët djegëse fosile do t’u duhet të </w:t>
      </w:r>
      <w:proofErr w:type="spellStart"/>
      <w:r w:rsidRPr="00297C3A">
        <w:rPr>
          <w:lang w:val="sq"/>
        </w:rPr>
        <w:t>rishpikin</w:t>
      </w:r>
      <w:proofErr w:type="spellEnd"/>
      <w:r w:rsidRPr="00297C3A">
        <w:rPr>
          <w:lang w:val="sq"/>
        </w:rPr>
        <w:t xml:space="preserve"> veten ose ndryshe të falimentojnë. Kufizimi i ngrohjes në 2°C nënkupton se një fraksion i madh i burimeve të njohura fosile duhet të qëndrojë në tokë dhe do të kthehet në </w:t>
      </w:r>
      <w:proofErr w:type="spellStart"/>
      <w:r w:rsidRPr="00297C3A">
        <w:rPr>
          <w:lang w:val="sq"/>
        </w:rPr>
        <w:t>asete</w:t>
      </w:r>
      <w:proofErr w:type="spellEnd"/>
      <w:r w:rsidRPr="00297C3A">
        <w:rPr>
          <w:lang w:val="sq"/>
        </w:rPr>
        <w:t xml:space="preserve"> të pashfrytëzuara, pa krijuar asnjëherë fitime për </w:t>
      </w:r>
      <w:proofErr w:type="spellStart"/>
      <w:r w:rsidRPr="00297C3A">
        <w:rPr>
          <w:lang w:val="sq"/>
        </w:rPr>
        <w:t>aksionerët</w:t>
      </w:r>
      <w:proofErr w:type="spellEnd"/>
      <w:r w:rsidRPr="00297C3A">
        <w:rPr>
          <w:lang w:val="sq"/>
        </w:rPr>
        <w:t xml:space="preserve"> apo qeveritë. Do të humbasin shumë vende pune.</w:t>
      </w:r>
    </w:p>
    <w:p w:rsidR="00EA7CFD" w:rsidRPr="00297C3A" w:rsidRDefault="00C229E0" w:rsidP="00261C03">
      <w:pPr>
        <w:pStyle w:val="Bodytext21"/>
        <w:widowControl/>
        <w:shd w:val="clear" w:color="auto" w:fill="auto"/>
        <w:spacing w:before="0" w:after="120" w:line="240" w:lineRule="auto"/>
        <w:ind w:firstLine="0"/>
        <w:jc w:val="both"/>
        <w:rPr>
          <w:lang w:val="sq"/>
        </w:rPr>
      </w:pPr>
      <w:r w:rsidRPr="00297C3A">
        <w:rPr>
          <w:lang w:val="sq"/>
        </w:rPr>
        <w:t xml:space="preserve">Në të njëjtën kohë, ju e dini se emetimet globale duhet të ulen për të shmangur ndikimet më të këqija në ndryshimin e klimës. Rritja e nivelit të deteve, moti më ekstrem dhe zhvendosjet gjeopolitike përbëjnë rreziqe serioze për </w:t>
      </w:r>
      <w:proofErr w:type="spellStart"/>
      <w:r w:rsidRPr="00297C3A">
        <w:rPr>
          <w:lang w:val="sq"/>
        </w:rPr>
        <w:t>asetet</w:t>
      </w:r>
      <w:proofErr w:type="spellEnd"/>
      <w:r w:rsidRPr="00297C3A">
        <w:rPr>
          <w:lang w:val="sq"/>
        </w:rPr>
        <w:t xml:space="preserve"> tuaja ekzistuese të furnizimit me energji dhe ekonominë botërore. Rritja e dëmeve klimatike gjithashtu rrit mundësinë e politikave dhe rregulloreve ekstreme që do të dëmtonin industrinë e lëndëve djegëse fosile. Ndërkohë që ju veproni që të ndaloni këto politika dhe rregullore, ju duhet gjithashtu të eksploroni se si mund ta përdorni infrastrukturën tuaj, kapitalin financiar dhe ekspertizën për të konkurruar dhe mbijetuar në një botë që po ngrohet.</w:t>
      </w:r>
    </w:p>
    <w:p w:rsidR="00934588" w:rsidRPr="00297C3A" w:rsidRDefault="00934588" w:rsidP="00261C03">
      <w:pPr>
        <w:pStyle w:val="Bodytext21"/>
        <w:widowControl/>
        <w:shd w:val="clear" w:color="auto" w:fill="auto"/>
        <w:spacing w:before="0" w:after="120" w:line="240" w:lineRule="auto"/>
        <w:ind w:firstLine="0"/>
        <w:jc w:val="both"/>
        <w:rPr>
          <w:lang w:val="sq"/>
        </w:rPr>
      </w:pPr>
    </w:p>
    <w:p w:rsidR="00934588" w:rsidRPr="00297C3A" w:rsidRDefault="00C229E0" w:rsidP="00261C03">
      <w:pPr>
        <w:widowControl/>
        <w:jc w:val="center"/>
      </w:pPr>
      <w:r w:rsidRPr="00297C3A">
        <w:rPr>
          <w:lang w:val="sq"/>
        </w:rPr>
        <w:t>_____________</w:t>
      </w:r>
    </w:p>
    <w:p w:rsidR="00934588" w:rsidRPr="00297C3A" w:rsidRDefault="00934588" w:rsidP="00261C03">
      <w:pPr>
        <w:pStyle w:val="Bodytext21"/>
        <w:widowControl/>
        <w:shd w:val="clear" w:color="auto" w:fill="auto"/>
        <w:spacing w:before="0" w:after="120" w:line="240" w:lineRule="auto"/>
        <w:ind w:firstLine="0"/>
        <w:jc w:val="both"/>
      </w:pPr>
    </w:p>
    <w:sectPr w:rsidR="00934588" w:rsidRPr="00297C3A" w:rsidSect="00C229E0">
      <w:headerReference w:type="even" r:id="rId7"/>
      <w:headerReference w:type="default" r:id="rId8"/>
      <w:footerReference w:type="even" r:id="rId9"/>
      <w:footerReference w:type="default" r:id="rId10"/>
      <w:headerReference w:type="first" r:id="rId11"/>
      <w:footerReference w:type="first" r:id="rId12"/>
      <w:pgSz w:w="11907" w:h="16840" w:code="9"/>
      <w:pgMar w:top="1417" w:right="1417" w:bottom="1417" w:left="1417" w:header="709" w:footer="83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B4C" w:rsidRDefault="00C71B4C">
      <w:r>
        <w:separator/>
      </w:r>
    </w:p>
  </w:endnote>
  <w:endnote w:type="continuationSeparator" w:id="0">
    <w:p w:rsidR="00C71B4C" w:rsidRDefault="00C7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3A" w:rsidRPr="00297C3A" w:rsidRDefault="00297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297C3A" w:rsidRDefault="00C229E0" w:rsidP="00934588">
    <w:pPr>
      <w:pStyle w:val="Footer"/>
      <w:spacing w:line="240" w:lineRule="auto"/>
      <w:rPr>
        <w:i/>
        <w:sz w:val="20"/>
        <w:szCs w:val="20"/>
      </w:rPr>
    </w:pPr>
    <w:r w:rsidRPr="00297C3A">
      <w:rPr>
        <w:i/>
        <w:iCs/>
        <w:sz w:val="20"/>
        <w:szCs w:val="20"/>
        <w:lang w:val="sq"/>
      </w:rPr>
      <w:t xml:space="preserve">Zhvilluar nga </w:t>
    </w:r>
    <w:proofErr w:type="spellStart"/>
    <w:r w:rsidRPr="00297C3A">
      <w:rPr>
        <w:i/>
        <w:iCs/>
        <w:sz w:val="20"/>
        <w:szCs w:val="20"/>
        <w:lang w:val="sq"/>
      </w:rPr>
      <w:t>Climate</w:t>
    </w:r>
    <w:proofErr w:type="spellEnd"/>
    <w:r w:rsidRPr="00297C3A">
      <w:rPr>
        <w:i/>
        <w:iCs/>
        <w:sz w:val="20"/>
        <w:szCs w:val="20"/>
        <w:lang w:val="sq"/>
      </w:rPr>
      <w:t xml:space="preserve"> </w:t>
    </w:r>
    <w:proofErr w:type="spellStart"/>
    <w:r w:rsidRPr="00297C3A">
      <w:rPr>
        <w:i/>
        <w:iCs/>
        <w:sz w:val="20"/>
        <w:szCs w:val="20"/>
        <w:lang w:val="sq"/>
      </w:rPr>
      <w:t>Interactive</w:t>
    </w:r>
    <w:proofErr w:type="spellEnd"/>
    <w:r w:rsidRPr="00297C3A">
      <w:rPr>
        <w:i/>
        <w:iCs/>
        <w:sz w:val="20"/>
        <w:szCs w:val="20"/>
        <w:lang w:val="sq"/>
      </w:rPr>
      <w:t xml:space="preserve">, MIT </w:t>
    </w:r>
    <w:proofErr w:type="spellStart"/>
    <w:r w:rsidRPr="00297C3A">
      <w:rPr>
        <w:i/>
        <w:iCs/>
        <w:sz w:val="20"/>
        <w:szCs w:val="20"/>
        <w:lang w:val="sq"/>
      </w:rPr>
      <w:t>Sloan</w:t>
    </w:r>
    <w:proofErr w:type="spellEnd"/>
    <w:r w:rsidRPr="00297C3A">
      <w:rPr>
        <w:i/>
        <w:iCs/>
        <w:sz w:val="20"/>
        <w:szCs w:val="20"/>
        <w:lang w:val="sq"/>
      </w:rPr>
      <w:t xml:space="preserve"> </w:t>
    </w:r>
    <w:proofErr w:type="spellStart"/>
    <w:r w:rsidRPr="00297C3A">
      <w:rPr>
        <w:i/>
        <w:iCs/>
        <w:sz w:val="20"/>
        <w:szCs w:val="20"/>
        <w:lang w:val="sq"/>
      </w:rPr>
      <w:t>School</w:t>
    </w:r>
    <w:proofErr w:type="spellEnd"/>
    <w:r w:rsidRPr="00297C3A">
      <w:rPr>
        <w:i/>
        <w:iCs/>
        <w:sz w:val="20"/>
        <w:szCs w:val="20"/>
        <w:lang w:val="sq"/>
      </w:rPr>
      <w:t xml:space="preserve"> </w:t>
    </w:r>
    <w:proofErr w:type="spellStart"/>
    <w:r w:rsidRPr="00297C3A">
      <w:rPr>
        <w:i/>
        <w:iCs/>
        <w:sz w:val="20"/>
        <w:szCs w:val="20"/>
        <w:lang w:val="sq"/>
      </w:rPr>
      <w:t>of</w:t>
    </w:r>
    <w:proofErr w:type="spellEnd"/>
    <w:r w:rsidRPr="00297C3A">
      <w:rPr>
        <w:i/>
        <w:iCs/>
        <w:sz w:val="20"/>
        <w:szCs w:val="20"/>
        <w:lang w:val="sq"/>
      </w:rPr>
      <w:t xml:space="preserve"> </w:t>
    </w:r>
    <w:proofErr w:type="spellStart"/>
    <w:r w:rsidRPr="00297C3A">
      <w:rPr>
        <w:i/>
        <w:iCs/>
        <w:sz w:val="20"/>
        <w:szCs w:val="20"/>
        <w:lang w:val="sq"/>
      </w:rPr>
      <w:t>Management</w:t>
    </w:r>
    <w:proofErr w:type="spellEnd"/>
    <w:r w:rsidRPr="00297C3A">
      <w:rPr>
        <w:i/>
        <w:iCs/>
        <w:sz w:val="20"/>
        <w:szCs w:val="20"/>
        <w:lang w:val="sq"/>
      </w:rPr>
      <w:t xml:space="preserve"> </w:t>
    </w:r>
    <w:proofErr w:type="spellStart"/>
    <w:r w:rsidRPr="00297C3A">
      <w:rPr>
        <w:i/>
        <w:iCs/>
        <w:sz w:val="20"/>
        <w:szCs w:val="20"/>
        <w:lang w:val="sq"/>
      </w:rPr>
      <w:t>Sustainability</w:t>
    </w:r>
    <w:proofErr w:type="spellEnd"/>
    <w:r w:rsidRPr="00297C3A">
      <w:rPr>
        <w:i/>
        <w:iCs/>
        <w:sz w:val="20"/>
        <w:szCs w:val="20"/>
        <w:lang w:val="sq"/>
      </w:rPr>
      <w:t xml:space="preserve"> </w:t>
    </w:r>
    <w:proofErr w:type="spellStart"/>
    <w:r w:rsidRPr="00297C3A">
      <w:rPr>
        <w:i/>
        <w:iCs/>
        <w:sz w:val="20"/>
        <w:szCs w:val="20"/>
        <w:lang w:val="sq"/>
      </w:rPr>
      <w:t>Initiative</w:t>
    </w:r>
    <w:proofErr w:type="spellEnd"/>
    <w:r w:rsidRPr="00297C3A">
      <w:rPr>
        <w:i/>
        <w:iCs/>
        <w:sz w:val="20"/>
        <w:szCs w:val="20"/>
        <w:lang w:val="sq"/>
      </w:rPr>
      <w:t xml:space="preserve">, ESB </w:t>
    </w:r>
    <w:proofErr w:type="spellStart"/>
    <w:r w:rsidRPr="00297C3A">
      <w:rPr>
        <w:i/>
        <w:iCs/>
        <w:sz w:val="20"/>
        <w:szCs w:val="20"/>
        <w:lang w:val="sq"/>
      </w:rPr>
      <w:t>Business</w:t>
    </w:r>
    <w:proofErr w:type="spellEnd"/>
    <w:r w:rsidRPr="00297C3A">
      <w:rPr>
        <w:i/>
        <w:iCs/>
        <w:sz w:val="20"/>
        <w:szCs w:val="20"/>
        <w:lang w:val="sq"/>
      </w:rPr>
      <w:t xml:space="preserve"> </w:t>
    </w:r>
    <w:proofErr w:type="spellStart"/>
    <w:r w:rsidRPr="00297C3A">
      <w:rPr>
        <w:i/>
        <w:iCs/>
        <w:sz w:val="20"/>
        <w:szCs w:val="20"/>
        <w:lang w:val="sq"/>
      </w:rPr>
      <w:t>School</w:t>
    </w:r>
    <w:proofErr w:type="spellEnd"/>
    <w:r w:rsidRPr="00297C3A">
      <w:rPr>
        <w:i/>
        <w:iCs/>
        <w:sz w:val="20"/>
        <w:szCs w:val="20"/>
        <w:lang w:val="sq"/>
      </w:rPr>
      <w:t xml:space="preserve"> dhe </w:t>
    </w:r>
    <w:proofErr w:type="spellStart"/>
    <w:r w:rsidRPr="00297C3A">
      <w:rPr>
        <w:i/>
        <w:iCs/>
        <w:sz w:val="20"/>
        <w:szCs w:val="20"/>
        <w:lang w:val="sq"/>
      </w:rPr>
      <w:t>UMass</w:t>
    </w:r>
    <w:proofErr w:type="spellEnd"/>
    <w:r w:rsidRPr="00297C3A">
      <w:rPr>
        <w:i/>
        <w:iCs/>
        <w:sz w:val="20"/>
        <w:szCs w:val="20"/>
        <w:lang w:val="sq"/>
      </w:rPr>
      <w:t xml:space="preserve"> </w:t>
    </w:r>
    <w:proofErr w:type="spellStart"/>
    <w:r w:rsidRPr="00297C3A">
      <w:rPr>
        <w:i/>
        <w:iCs/>
        <w:sz w:val="20"/>
        <w:szCs w:val="20"/>
        <w:lang w:val="sq"/>
      </w:rPr>
      <w:t>Lowell</w:t>
    </w:r>
    <w:proofErr w:type="spellEnd"/>
    <w:r w:rsidRPr="00297C3A">
      <w:rPr>
        <w:i/>
        <w:iCs/>
        <w:sz w:val="20"/>
        <w:szCs w:val="20"/>
        <w:lang w:val="sq"/>
      </w:rPr>
      <w:t xml:space="preserve"> </w:t>
    </w:r>
    <w:proofErr w:type="spellStart"/>
    <w:r w:rsidRPr="00297C3A">
      <w:rPr>
        <w:i/>
        <w:iCs/>
        <w:sz w:val="20"/>
        <w:szCs w:val="20"/>
        <w:lang w:val="sq"/>
      </w:rPr>
      <w:t>Climate</w:t>
    </w:r>
    <w:proofErr w:type="spellEnd"/>
    <w:r w:rsidRPr="00297C3A">
      <w:rPr>
        <w:i/>
        <w:iCs/>
        <w:sz w:val="20"/>
        <w:szCs w:val="20"/>
        <w:lang w:val="sq"/>
      </w:rPr>
      <w:t xml:space="preserve"> </w:t>
    </w:r>
    <w:proofErr w:type="spellStart"/>
    <w:r w:rsidRPr="00297C3A">
      <w:rPr>
        <w:i/>
        <w:iCs/>
        <w:sz w:val="20"/>
        <w:szCs w:val="20"/>
        <w:lang w:val="sq"/>
      </w:rPr>
      <w:t>Change</w:t>
    </w:r>
    <w:proofErr w:type="spellEnd"/>
    <w:r w:rsidRPr="00297C3A">
      <w:rPr>
        <w:i/>
        <w:iCs/>
        <w:sz w:val="20"/>
        <w:szCs w:val="20"/>
        <w:lang w:val="sq"/>
      </w:rPr>
      <w:t xml:space="preserve"> </w:t>
    </w:r>
    <w:proofErr w:type="spellStart"/>
    <w:r w:rsidRPr="00297C3A">
      <w:rPr>
        <w:i/>
        <w:iCs/>
        <w:sz w:val="20"/>
        <w:szCs w:val="20"/>
        <w:lang w:val="sq"/>
      </w:rPr>
      <w:t>Initiative</w:t>
    </w:r>
    <w:proofErr w:type="spellEnd"/>
    <w:r w:rsidRPr="00297C3A">
      <w:rPr>
        <w:i/>
        <w:iCs/>
        <w:sz w:val="20"/>
        <w:szCs w:val="20"/>
        <w:lang w:val="sq"/>
      </w:rPr>
      <w:t xml:space="preserve">. Përditësuar për herë të fundit në shtator 2019. </w:t>
    </w:r>
    <w:hyperlink r:id="rId1" w:history="1">
      <w:r w:rsidRPr="00297C3A">
        <w:rPr>
          <w:rStyle w:val="Hyperlink"/>
          <w:i/>
          <w:iCs/>
          <w:sz w:val="20"/>
          <w:szCs w:val="20"/>
          <w:lang w:val="sq"/>
        </w:rPr>
        <w:t>www.cllmatelnteractlve.org</w:t>
      </w:r>
    </w:hyperlink>
    <w:r w:rsidRPr="00297C3A">
      <w:rPr>
        <w:i/>
        <w:iCs/>
        <w:sz w:val="20"/>
        <w:szCs w:val="20"/>
        <w:lang w:val="sq"/>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3A" w:rsidRPr="00297C3A" w:rsidRDefault="00297C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B4C" w:rsidRDefault="00C71B4C">
      <w:r>
        <w:separator/>
      </w:r>
    </w:p>
  </w:footnote>
  <w:footnote w:type="continuationSeparator" w:id="0">
    <w:p w:rsidR="00C71B4C" w:rsidRDefault="00C71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3A" w:rsidRPr="00297C3A" w:rsidRDefault="00297C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3A" w:rsidRPr="00297C3A" w:rsidRDefault="00297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3A" w:rsidRPr="00297C3A" w:rsidRDefault="00297C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CFD"/>
    <w:rsid w:val="00007579"/>
    <w:rsid w:val="00061DF7"/>
    <w:rsid w:val="0010014B"/>
    <w:rsid w:val="001C401E"/>
    <w:rsid w:val="00261C03"/>
    <w:rsid w:val="00297C3A"/>
    <w:rsid w:val="002A3890"/>
    <w:rsid w:val="00425680"/>
    <w:rsid w:val="004D634B"/>
    <w:rsid w:val="00565AD4"/>
    <w:rsid w:val="006B1680"/>
    <w:rsid w:val="006D5967"/>
    <w:rsid w:val="00855DE7"/>
    <w:rsid w:val="00934588"/>
    <w:rsid w:val="00941B40"/>
    <w:rsid w:val="009C54B9"/>
    <w:rsid w:val="00AE22AC"/>
    <w:rsid w:val="00B66DC1"/>
    <w:rsid w:val="00B75ADD"/>
    <w:rsid w:val="00C229E0"/>
    <w:rsid w:val="00C71B4C"/>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l-G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1"/>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00">
    <w:name w:val="Body text|2_0"/>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1">
    <w:name w:val="Body text|2_1"/>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paragraph" w:styleId="BalloonText">
    <w:name w:val="Balloon Text"/>
    <w:basedOn w:val="Normal"/>
    <w:link w:val="BalloonTextChar"/>
    <w:uiPriority w:val="99"/>
    <w:semiHidden/>
    <w:unhideWhenUsed/>
    <w:rsid w:val="00261C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C0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CTJJHAUHWN5E-644613129-863</_dlc_DocId>
    <_dlc_DocIdUrl xmlns="bfc960a6-20da-4c94-8684-71380fca093b">
      <Url>http://dm2016/eesc/2019/_layouts/15/DocIdRedir.aspx?ID=CTJJHAUHWN5E-644613129-863</Url>
      <Description>CTJJHAUHWN5E-644613129-863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SQ</TermName>
          <TermId xmlns="http://schemas.microsoft.com/office/infopath/2007/PartnerControls">5ac17240-8d11-45ec-9893-659b209d7a00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Props1.xml><?xml version="1.0" encoding="utf-8"?>
<ds:datastoreItem xmlns:ds="http://schemas.openxmlformats.org/officeDocument/2006/customXml" ds:itemID="{92147190-CB78-4299-A850-B0F15DA4FD86}"/>
</file>

<file path=customXml/itemProps2.xml><?xml version="1.0" encoding="utf-8"?>
<ds:datastoreItem xmlns:ds="http://schemas.openxmlformats.org/officeDocument/2006/customXml" ds:itemID="{BBADA343-0EC2-4439-8467-A725BB168D16}"/>
</file>

<file path=customXml/itemProps3.xml><?xml version="1.0" encoding="utf-8"?>
<ds:datastoreItem xmlns:ds="http://schemas.openxmlformats.org/officeDocument/2006/customXml" ds:itemID="{D198D847-45C4-4ECA-800C-EB8AE48D8AB5}"/>
</file>

<file path=customXml/itemProps4.xml><?xml version="1.0" encoding="utf-8"?>
<ds:datastoreItem xmlns:ds="http://schemas.openxmlformats.org/officeDocument/2006/customXml" ds:itemID="{C5C992ED-0817-47FD-859F-D9292A7DB1A2}"/>
</file>

<file path=docProps/app.xml><?xml version="1.0" encoding="utf-8"?>
<Properties xmlns="http://schemas.openxmlformats.org/officeDocument/2006/extended-properties" xmlns:vt="http://schemas.openxmlformats.org/officeDocument/2006/docPropsVTypes">
  <Template>Normal.dotm</Template>
  <TotalTime>0</TotalTime>
  <Pages>2</Pages>
  <Words>1288</Words>
  <Characters>7342</Characters>
  <Application>Microsoft Office Word</Application>
  <DocSecurity>4</DocSecurity>
  <Lines>61</Lines>
  <Paragraphs>17</Paragraphs>
  <ScaleCrop>false</ScaleCrop>
  <Manager/>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2 - Conventional Energy Supply </dc:title>
  <dc:creator/>
  <cp:keywords>EESC-2019-05163-01-00-INFO-TRA-EN</cp:keywords>
  <dc:description>Rapporteur:  - Original language: EN - Date of document: 27/11/2019 - Date of meeting:  - External documents:  - Administrator: MME Lahousse Chloé</dc:description>
  <cp:lastModifiedBy/>
  <cp:revision>1</cp:revision>
  <dcterms:created xsi:type="dcterms:W3CDTF">2019-11-27T13:57:00Z</dcterms:created>
  <dcterms:modified xsi:type="dcterms:W3CDTF">2019-11-27T13:57:00Z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a767ccd4-11d0-4b35-9e01-dd3aefe6e007</vt:lpwstr>
  </property>
  <property fmtid="{D5CDD505-2E9C-101B-9397-08002B2CF9AE}" pid="4" name="AvailableTranslations">
    <vt:lpwstr>152;#MK|34ce48bb-063e-4413-a932-50853dc71c5c;#162;#TR|6e4ededd-04c4-4fa0-94e0-1028050302d5;#246;#ME|925b3da5-5ac0-4b3c-928c-6ef66a5c9b3c;#153;#SR|7f3a1d13-b985-4bfd-981e-afe31377edff;#4;#EN|f2175f21-25d7-44a3-96da-d6a61b075e1b;#154;#SQ|5ac17240-8d11-45ec-9893-659b209d7a00</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11384</vt:i4>
  </property>
  <property fmtid="{D5CDD505-2E9C-101B-9397-08002B2CF9AE}" pid="13" name="DocumentStatus">
    <vt:lpwstr>2;#TRA|150d2a88-1431-44e6-a8ca-0bb753ab8672</vt:lpwstr>
  </property>
  <property fmtid="{D5CDD505-2E9C-101B-9397-08002B2CF9AE}" pid="14" name="DocumentPart">
    <vt:i4>1</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EN|f2175f21-25d7-44a3-96da-d6a61b075e1b</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154;#SQ|5ac17240-8d11-45ec-9893-659b209d7a00</vt:lpwstr>
  </property>
  <property fmtid="{D5CDD505-2E9C-101B-9397-08002B2CF9AE}" pid="33" name="_docset_NoMedatataSyncRequired">
    <vt:lpwstr>False</vt:lpwstr>
  </property>
</Properties>
</file>